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D463C1" w:rsidRPr="00D463C1" w:rsidRDefault="00D463C1" w:rsidP="00D463C1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63C1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D463C1">
        <w:rPr>
          <w:rFonts w:ascii="Arial" w:hAnsi="Arial" w:cs="Arial"/>
          <w:b/>
          <w:sz w:val="32"/>
          <w:szCs w:val="32"/>
          <w:lang w:val="es-ES"/>
        </w:rPr>
        <w:t>Artículo 10 numeral 18</w:t>
      </w:r>
      <w:r w:rsidRPr="00D463C1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por su naturaleza no ejecuta obras </w:t>
      </w:r>
      <w:bookmarkStart w:id="0" w:name="_GoBack"/>
      <w:bookmarkEnd w:id="0"/>
      <w:r w:rsidRPr="00D463C1">
        <w:rPr>
          <w:rFonts w:ascii="Arial" w:hAnsi="Arial" w:cs="Arial"/>
          <w:sz w:val="32"/>
          <w:szCs w:val="32"/>
          <w:lang w:val="es-ES"/>
        </w:rPr>
        <w:t xml:space="preserve">total o parcialmente con fondos públicos o con recursos provenientes de préstamos. 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463C1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F058-42B9-4A50-AC14-7E7B6805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2021-01-15T18:40:00Z</dcterms:created>
  <dcterms:modified xsi:type="dcterms:W3CDTF">2021-01-15T18:41:00Z</dcterms:modified>
</cp:coreProperties>
</file>