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1346C3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AGOSTO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582A76">
        <w:rPr>
          <w:rFonts w:ascii="Arial" w:hAnsi="Arial" w:cs="Arial"/>
          <w:sz w:val="24"/>
        </w:rPr>
        <w:t>n el mes de julio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CB4B6F">
        <w:rPr>
          <w:rFonts w:ascii="Arial" w:hAnsi="Arial" w:cs="Arial"/>
          <w:sz w:val="24"/>
        </w:rPr>
        <w:t>veintiún (21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CB4B6F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383" w:type="dxa"/>
          </w:tcPr>
          <w:p w:rsidR="00B142C7" w:rsidRDefault="00CB4B6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2105" w:type="dxa"/>
          </w:tcPr>
          <w:p w:rsidR="00B142C7" w:rsidRDefault="00CB4B6F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CB4B6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2383" w:type="dxa"/>
          </w:tcPr>
          <w:p w:rsidR="00B142C7" w:rsidRPr="00C439B5" w:rsidRDefault="00CB4B6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582A76">
              <w:rPr>
                <w:b/>
                <w:bCs/>
                <w:iCs/>
              </w:rPr>
              <w:t>2</w:t>
            </w:r>
          </w:p>
        </w:tc>
        <w:tc>
          <w:tcPr>
            <w:tcW w:w="2105" w:type="dxa"/>
          </w:tcPr>
          <w:p w:rsidR="00B142C7" w:rsidRPr="00C439B5" w:rsidRDefault="00CB4B6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CB4B6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1296" w:type="dxa"/>
          </w:tcPr>
          <w:p w:rsidR="00B142C7" w:rsidRDefault="00CB4B6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lastRenderedPageBreak/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0F5C32">
        <w:trPr>
          <w:trHeight w:val="254"/>
          <w:jc w:val="center"/>
        </w:trPr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</w:tcPr>
          <w:p w:rsidR="00D5767B" w:rsidRPr="00FC0FEA" w:rsidRDefault="00CB4B6F" w:rsidP="000F5C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CB4B6F" w:rsidP="000F5C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6"/>
              </w:rPr>
              <w:t>20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582A76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CB4B6F" w:rsidP="000F5C32">
            <w:pPr>
              <w:jc w:val="center"/>
              <w:rPr>
                <w:b/>
                <w:bCs/>
                <w:iCs/>
                <w:sz w:val="18"/>
              </w:rPr>
            </w:pPr>
            <w:r w:rsidRPr="00CB4B6F">
              <w:rPr>
                <w:b/>
                <w:bCs/>
                <w:iCs/>
                <w:sz w:val="16"/>
              </w:rPr>
              <w:t>21</w:t>
            </w:r>
          </w:p>
        </w:tc>
      </w:tr>
      <w:tr w:rsidR="00D5767B" w:rsidRPr="00C35A66" w:rsidTr="000F5C32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582A7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18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21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CONTROL DE VISITAS A CONADI</w:t>
      </w:r>
    </w:p>
    <w:p w:rsidR="004B0A69" w:rsidRDefault="00CB4B6F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 el mes de agosto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 </w:t>
      </w:r>
      <w:r>
        <w:rPr>
          <w:rFonts w:ascii="Arial" w:hAnsi="Arial" w:cs="Arial"/>
          <w:bCs/>
          <w:iCs/>
          <w:sz w:val="24"/>
          <w:szCs w:val="24"/>
        </w:rPr>
        <w:t>trescientas siete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(</w:t>
      </w:r>
      <w:r>
        <w:rPr>
          <w:rFonts w:ascii="Arial" w:hAnsi="Arial" w:cs="Arial"/>
          <w:bCs/>
          <w:iCs/>
          <w:sz w:val="24"/>
          <w:szCs w:val="24"/>
        </w:rPr>
        <w:t>307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) personas; quienes nos visitan a diario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CB4B6F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78</w:t>
            </w:r>
          </w:p>
        </w:tc>
        <w:tc>
          <w:tcPr>
            <w:tcW w:w="1903" w:type="dxa"/>
          </w:tcPr>
          <w:p w:rsidR="00113845" w:rsidRDefault="00CB4B6F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229</w:t>
            </w:r>
          </w:p>
        </w:tc>
        <w:tc>
          <w:tcPr>
            <w:tcW w:w="1681" w:type="dxa"/>
          </w:tcPr>
          <w:p w:rsidR="00113845" w:rsidRDefault="00CB4B6F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CB4B6F" w:rsidP="00A32A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</w:t>
            </w:r>
          </w:p>
        </w:tc>
        <w:tc>
          <w:tcPr>
            <w:tcW w:w="1903" w:type="dxa"/>
          </w:tcPr>
          <w:p w:rsidR="00113845" w:rsidRPr="00C439B5" w:rsidRDefault="00CB4B6F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229</w:t>
            </w:r>
          </w:p>
        </w:tc>
        <w:tc>
          <w:tcPr>
            <w:tcW w:w="1681" w:type="dxa"/>
          </w:tcPr>
          <w:p w:rsidR="00113845" w:rsidRPr="00C439B5" w:rsidRDefault="00CB4B6F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307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CB4B6F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  <w:tc>
          <w:tcPr>
            <w:tcW w:w="1296" w:type="dxa"/>
          </w:tcPr>
          <w:p w:rsidR="00113845" w:rsidRDefault="00CB4B6F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0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113845" w:rsidP="00113845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 w:rsidRPr="00113845">
              <w:rPr>
                <w:b/>
                <w:bCs/>
                <w:iCs/>
                <w:sz w:val="24"/>
              </w:rPr>
              <w:t>12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CB4B6F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295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CB4B6F" w:rsidP="00113845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20"/>
              </w:rPr>
              <w:t>307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CB4B6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CB4B6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CB4B6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D04FA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CB4B6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267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CB4B6F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307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CB4B6F">
        <w:rPr>
          <w:rFonts w:ascii="Arial" w:hAnsi="Arial" w:cs="Arial"/>
          <w:bCs/>
          <w:iCs/>
          <w:sz w:val="24"/>
          <w:szCs w:val="24"/>
        </w:rPr>
        <w:t>ONADI, durante el mes de agosto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mensajes sobre covid-19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 y 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65490E" w:rsidRDefault="001346C3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B3F1A9E" wp14:editId="68D3B667">
            <wp:extent cx="4243730" cy="4490017"/>
            <wp:effectExtent l="0" t="0" r="444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411" t="8459" r="40485" b="19864"/>
                    <a:stretch/>
                  </pic:blipFill>
                  <pic:spPr bwMode="auto">
                    <a:xfrm>
                      <a:off x="0" y="0"/>
                      <a:ext cx="4258038" cy="45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90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B7" w:rsidRDefault="008A04B7" w:rsidP="009C6AA2">
      <w:pPr>
        <w:spacing w:after="0" w:line="240" w:lineRule="auto"/>
      </w:pPr>
      <w:r>
        <w:separator/>
      </w:r>
    </w:p>
  </w:endnote>
  <w:endnote w:type="continuationSeparator" w:id="0">
    <w:p w:rsidR="008A04B7" w:rsidRDefault="008A04B7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B7" w:rsidRDefault="008A04B7" w:rsidP="009C6AA2">
      <w:pPr>
        <w:spacing w:after="0" w:line="240" w:lineRule="auto"/>
      </w:pPr>
      <w:r>
        <w:separator/>
      </w:r>
    </w:p>
  </w:footnote>
  <w:footnote w:type="continuationSeparator" w:id="0">
    <w:p w:rsidR="008A04B7" w:rsidRDefault="008A04B7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346C3"/>
    <w:rsid w:val="001451E7"/>
    <w:rsid w:val="00151180"/>
    <w:rsid w:val="001B5C5B"/>
    <w:rsid w:val="001C3992"/>
    <w:rsid w:val="00204583"/>
    <w:rsid w:val="0020733E"/>
    <w:rsid w:val="00292E1E"/>
    <w:rsid w:val="002A770E"/>
    <w:rsid w:val="002C75EE"/>
    <w:rsid w:val="002E7F59"/>
    <w:rsid w:val="003205A1"/>
    <w:rsid w:val="00334E14"/>
    <w:rsid w:val="00335E42"/>
    <w:rsid w:val="00352F93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4E325D"/>
    <w:rsid w:val="00582A76"/>
    <w:rsid w:val="00584269"/>
    <w:rsid w:val="00584398"/>
    <w:rsid w:val="005E6131"/>
    <w:rsid w:val="005F3580"/>
    <w:rsid w:val="0065490E"/>
    <w:rsid w:val="006F0144"/>
    <w:rsid w:val="007403BF"/>
    <w:rsid w:val="007458C5"/>
    <w:rsid w:val="007E6090"/>
    <w:rsid w:val="00820F89"/>
    <w:rsid w:val="008329CD"/>
    <w:rsid w:val="008329E5"/>
    <w:rsid w:val="0089594F"/>
    <w:rsid w:val="008A0069"/>
    <w:rsid w:val="008A04B7"/>
    <w:rsid w:val="008B6365"/>
    <w:rsid w:val="008C27BD"/>
    <w:rsid w:val="009873DA"/>
    <w:rsid w:val="009B0F38"/>
    <w:rsid w:val="009C0BC9"/>
    <w:rsid w:val="009C6AA2"/>
    <w:rsid w:val="009D2346"/>
    <w:rsid w:val="009D6348"/>
    <w:rsid w:val="00A42C17"/>
    <w:rsid w:val="00A52C33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9207A"/>
    <w:rsid w:val="00B96D6D"/>
    <w:rsid w:val="00BA6B63"/>
    <w:rsid w:val="00C20EFD"/>
    <w:rsid w:val="00C44CE2"/>
    <w:rsid w:val="00C71F6F"/>
    <w:rsid w:val="00CA282D"/>
    <w:rsid w:val="00CA4615"/>
    <w:rsid w:val="00CB4B6F"/>
    <w:rsid w:val="00CB6205"/>
    <w:rsid w:val="00CE586F"/>
    <w:rsid w:val="00D04FA9"/>
    <w:rsid w:val="00D567E8"/>
    <w:rsid w:val="00D5767B"/>
    <w:rsid w:val="00D611C5"/>
    <w:rsid w:val="00D66B73"/>
    <w:rsid w:val="00D74105"/>
    <w:rsid w:val="00E471BD"/>
    <w:rsid w:val="00E53F42"/>
    <w:rsid w:val="00E6105F"/>
    <w:rsid w:val="00F468A8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4</cp:revision>
  <cp:lastPrinted>2021-06-16T21:18:00Z</cp:lastPrinted>
  <dcterms:created xsi:type="dcterms:W3CDTF">2021-09-01T20:39:00Z</dcterms:created>
  <dcterms:modified xsi:type="dcterms:W3CDTF">2021-09-13T20:28:00Z</dcterms:modified>
</cp:coreProperties>
</file>