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34"/>
          <w:szCs w:val="34"/>
          <w:lang w:val="es-ES_tradnl"/>
        </w:rPr>
        <w:t>ORGANISMO LEGISLATIVO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30"/>
          <w:szCs w:val="30"/>
          <w:lang w:val="es-ES_tradnl"/>
        </w:rPr>
        <w:t>DECRETO NÚMERO 21-2018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EL CONGRESO DE LA REPÚBLICA DE GUATEMALA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CONSIDERANDO: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Que la Constitución Política de la República de Guatemala reconoce que todos los seres humanos somos iguales en dignidad y derechos. Asimismo, reconoce y protege el derecho de autor como inherente a la persona humana, garantizando a sus titulares el goce de la propiedad exclusiva de su obra, de conformidad con la ley y los tratados y convenios internacionales de los cuales Guatemala es parte.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CONSIDERANDO: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Que la Convención sobre los Derechos de las Personas con Discapacidad, aprobada por el Congreso de la República de Guatemala a través del Decreto Número 59-2008, establece en su artículo 30, numeral 3, que los estados Parte tomarán todas las medidas pertinentes, de conformidad con el derecho internacional, a fin de asegurar que las leyes de protección de los derechos de propiedad intelectual no constituyan una barrera excesiva o discriminatoria para el acceso de las personas con discapacidad a materiales culturales.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CONSIDERANDO: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Que el tratado de Marrakech para facilitar el acceso a las obras publicadas a las personas ciegas, con discapacidad visual o con otras dificultades para acceder al texto impreso, firmado por el Estado de Guatemala el 02 de junio de 2014 y aprobado por el Congreso de la República de Guatemala a través del Decreto Número 07-2016, indica en sus artículos 4 y 5 que debe de establecerse en legislación nacional de derecho de autor y derechos conexos,  las limitaciones y excepciones sobre los ejemplares en formato accesible, así como de su intercambio transfronterizo.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CONSIDERANDO: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Que la Ley de Derecho de Autor y Derechos Conexos es un cuerpo normativo anterior a la Convención sobre los Derechos de las Personas con Discapacidad y el Tratado de Marrakech para facilitar el acceso a las obras publicadas a las personas ciegas, con discapacidad visual o con otras dificultades para acceder el texto impreso y su contenido 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lastRenderedPageBreak/>
        <w:t>no responde a la amplitud de la accesibilidad que las personas ciegas, con discapacidad visual y con otras dificultades para acceder al texto impreso requieren.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POR TANTO: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En ejercicio de las atribuciones que le confiere el artículo 171, literal a) de la Constitución Política de la República de Guatemala,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DECRETA: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Las siguientes: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bookmarkStart w:id="0" w:name="_GoBack"/>
      <w:bookmarkEnd w:id="0"/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REFORMAS AL DECRETO NÚMERO 33-98 DEL CONGRESO DE LA REPÚBLICA, LEY DE DERECHO DE AUTOR Y DERECHOS CONEXOS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Artículo 1.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Se adicionan al artículo 63 las literales d) y e), las cuales quedan así: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d) Se realice la reproducción y distribución de ejemplares accesibles para personas ciegas, con baja visión y personas con otras limitaciones para acceder al texto impreso; que han sido protegidos por derechos de autor. Esto será posible siempre que la reproducción y distribución sean hechas por entidades autorizadas.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e) Se refiere a la distribución de materiales encriptados o protegidos por cualquier otro sistema que impida su lectura a personas no beneficiarias. Las entidades autorizadas asignarán y administrarán las claves de acceso a las obras protegidas. Las entidades autorizadas concentrarán los ejemplares accesibles en una sola base de datos a nivel nacional y estarán en la posibilidad de efectuar intercambio transfronteriza con otra entidad autorizada nacional de otro país u organización internacional certificada para tales fines.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Las entidades autorizadas conservarán una única base de datos de personas beneficiarias, las cuales se les garantizará el respeto de la intimidad.”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Artículo 2.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Se adiciona el artículo 63 bis, el cual queda así: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“Artículo 63 bis.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Para dar cumplimiento a las literas d) y e) del artículo anterior se establecen las siguientes excepciones y limitaciones: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Beneficiario: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Toda persona ciega o de baja visión permanente que no puede corregirse y por ello, está imposibilitada para leer material impreso en forma sustancialmente equivalente a otra persona que no tiene la misma condición. 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lastRenderedPageBreak/>
        <w:t>Asimismo, personas con dislexia o toda otra deficiencia física o neurológica permanente que afecte la visión, manipulación o compresión de textos impresos en forma convencional.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18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Ejemplar en formato accesible: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La reproducción de una obra, de una manera o forma alternativa que dé a los beneficiarios acceso a ella, siendo dicho acceso tan viable y cómodo como el de las personas sin discapacidad visual o sin otras dificultades para acceder al texto impreso.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18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Encriptados: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Cifradas de modo que no puedan ser leídas por personas que carezcan de una clave de acceso.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18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Soporte físico: 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Todo elemento tangible que almacene con voz digitalizada y textos digitales en cualquier medio de almacenamiento electrónico. Las obras reproducidas y distribuidas en ejemplares accesibles deberán consignar: los datos de la entidad autorizada, la fecha de la publicación original y el nombre de la persona física o jurídica a la cual pertenezcan los derechos de autor.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18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Obras literarias: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Poesía, cuento, novela, filosofía, historia, ensayos, enciclopedias, diccionarios, textos y todos aquellos escritos en los cuales forma y fondo se combinen para expresar conocimientos e ideas de interés universal o nacional.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Obras científicas: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Tratados, textos, libros de divulgación, artículos de revistas especializadas, y todo material relativo a la ciencia o la tecnología en sus diversas ramas.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18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 xml:space="preserve">Entidad autorizada: 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Institución estatal u organización no gubernamental nacional o internacional, sin fines de lucro con personería jurídica, cuya misión principal sea impartir educación, formación pedagógica, lectura adaptada o acceso a la información a personas ciegas de baja visión o con limitaciones para leer o manipular un texto impreso.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18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ind w:left="540" w:hanging="27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Las entidades autorizadas podrán: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ind w:left="90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90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Realizar la reproducción, distribución y puesta a disposición de ejemplares en formato accesible, utilizando la regla triple criterio, que serán distribuidas a los beneficiarios.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90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lastRenderedPageBreak/>
        <w:t>Asignar y administrar de manera obligatoria, las claves de acceso a los beneficiarios a las obras protegidas, con la finalidad de registrar el uso de los ejemplares de obras, respetando la intimidad de los beneficiarios.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90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Concentrar los ejemplares accesibles en una sola base de datos a nivel nacional y estarán en la posibilidad de efectuar un intercambio transfronterizo con otra entidad autorizada, estatal de otro país y organización no gubernamental nacional o internacional certificada para su tal fin, siempre y cuando se conserve una única base de datos de beneficiarios garantizando el respeto a la intimidad.”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/>
        <w:ind w:left="540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Artículo 3.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Las modificaciones al reglamento del Decreto Número 33-98 del Congreso de la República, Ley de Derecho de Autor y Derechos Conexos, deberán realizarse en un plazo que no excederá de los sesenta días contados a partir de la vigencia de la presente Ley.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Artículo 4.</w:t>
      </w: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 xml:space="preserve"> El presente Decreto entrará en vigencia ocho días después de su publicación en el Diario Oficial.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REMÍTASE AL ORGANISMO EJECUTIVO PARA SU SANCIÓN, PROMULGACIÓN Y PUBLICACIÓN.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EMITIDO EN EL PALACIO DEL ORGANISMO LEGISLATIVO, EN LA CIUDAD DE GUATEMALA, EL NUEVE DE OCTUBRE DE DOS MIL DIECIOCHO,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both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ALVARO ENRIQUE ARZÚ ESCOBAR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PRESIDENTE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ESTUARDO ERNESTO GALDÁMEZ JUÁREZ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SECRETARIO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JUAN RAMÓN LAU QUAN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SECRETARIO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PALACIO NACIONAL: Guatemala, dos de noviembre de año dos mil dieciocho.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PUBLÍQUESE Y CÚMPLASE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lastRenderedPageBreak/>
        <w:t>CABRERA FRANCO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ACISCLO VALLADARES URRUELA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MINISTRO DE ECONOMÍA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b/>
          <w:bCs/>
          <w:color w:val="000000"/>
          <w:sz w:val="26"/>
          <w:szCs w:val="26"/>
          <w:lang w:val="es-ES_tradnl"/>
        </w:rPr>
        <w:t>CARLOS RODOLFO MARTÍNEZ GULARTE</w:t>
      </w:r>
    </w:p>
    <w:p w:rsidR="008D2AEC" w:rsidRPr="008D2AEC" w:rsidRDefault="008D2AEC" w:rsidP="008D2AEC">
      <w:pPr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</w:pPr>
      <w:r w:rsidRPr="008D2AEC">
        <w:rPr>
          <w:rFonts w:ascii="HelveticaNeue LT 55 Roman" w:hAnsi="HelveticaNeue LT 55 Roman" w:cs="HelveticaNeue LT 55 Roman"/>
          <w:color w:val="000000"/>
          <w:sz w:val="26"/>
          <w:szCs w:val="26"/>
          <w:lang w:val="es-ES_tradnl"/>
        </w:rPr>
        <w:t>SECRETARIO GENERAL DE LA PRESIDENCIA DE LA REPÚBLICA</w:t>
      </w:r>
    </w:p>
    <w:p w:rsidR="009F20FA" w:rsidRDefault="009F20FA"/>
    <w:sectPr w:rsidR="009F20FA" w:rsidSect="00AD6B6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EC"/>
    <w:rsid w:val="008D2AEC"/>
    <w:rsid w:val="009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D2AEC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D2AEC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InfoPubliLap</dc:creator>
  <cp:lastModifiedBy>InfoPubliLap</cp:lastModifiedBy>
  <cp:revision>1</cp:revision>
  <dcterms:created xsi:type="dcterms:W3CDTF">2025-02-27T16:47:00Z</dcterms:created>
  <dcterms:modified xsi:type="dcterms:W3CDTF">2025-02-27T16:48:00Z</dcterms:modified>
</cp:coreProperties>
</file>